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F991" w14:textId="77777777" w:rsidR="00CC62C5" w:rsidRPr="00CC62C5" w:rsidRDefault="00CC62C5" w:rsidP="00CC62C5">
      <w:pPr>
        <w:spacing w:after="0" w:line="288" w:lineRule="auto"/>
        <w:jc w:val="center"/>
        <w:outlineLvl w:val="0"/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</w:pPr>
      <w:proofErr w:type="spellStart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>Nghị</w:t>
      </w:r>
      <w:proofErr w:type="spellEnd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>định</w:t>
      </w:r>
      <w:proofErr w:type="spellEnd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 xml:space="preserve"> 17/2025/NĐ-CP </w:t>
      </w:r>
      <w:proofErr w:type="spellStart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>sửa</w:t>
      </w:r>
      <w:proofErr w:type="spellEnd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>đổi</w:t>
      </w:r>
      <w:proofErr w:type="spellEnd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 xml:space="preserve">, </w:t>
      </w:r>
      <w:proofErr w:type="spellStart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>bổ</w:t>
      </w:r>
      <w:proofErr w:type="spellEnd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 xml:space="preserve"> sung </w:t>
      </w:r>
      <w:proofErr w:type="spellStart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>một</w:t>
      </w:r>
      <w:proofErr w:type="spellEnd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>số</w:t>
      </w:r>
      <w:proofErr w:type="spellEnd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>quy</w:t>
      </w:r>
      <w:proofErr w:type="spellEnd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>định</w:t>
      </w:r>
      <w:proofErr w:type="spellEnd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>về</w:t>
      </w:r>
      <w:proofErr w:type="spellEnd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>đấu</w:t>
      </w:r>
      <w:proofErr w:type="spellEnd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031739"/>
          <w:kern w:val="36"/>
          <w:sz w:val="36"/>
          <w:szCs w:val="36"/>
          <w:u w:val="single"/>
        </w:rPr>
        <w:t>thầu</w:t>
      </w:r>
      <w:proofErr w:type="spellEnd"/>
    </w:p>
    <w:p w14:paraId="2E3EFC1B" w14:textId="77777777" w:rsidR="00CC62C5" w:rsidRDefault="00CC62C5" w:rsidP="00CC62C5">
      <w:pPr>
        <w:spacing w:after="0" w:line="288" w:lineRule="auto"/>
        <w:jc w:val="center"/>
        <w:outlineLvl w:val="0"/>
        <w:rPr>
          <w:rFonts w:eastAsia="Times New Roman" w:cs="Times New Roman"/>
          <w:b/>
          <w:bCs/>
          <w:color w:val="031739"/>
          <w:kern w:val="36"/>
          <w:szCs w:val="28"/>
        </w:rPr>
      </w:pPr>
    </w:p>
    <w:p w14:paraId="415A55C6" w14:textId="77777777" w:rsidR="00CC62C5" w:rsidRPr="00CC62C5" w:rsidRDefault="00CC62C5" w:rsidP="00CC62C5">
      <w:pPr>
        <w:spacing w:after="0" w:line="288" w:lineRule="auto"/>
        <w:jc w:val="center"/>
        <w:outlineLvl w:val="0"/>
        <w:rPr>
          <w:rFonts w:eastAsia="Times New Roman" w:cs="Times New Roman"/>
          <w:b/>
          <w:bCs/>
          <w:color w:val="031739"/>
          <w:kern w:val="36"/>
          <w:szCs w:val="28"/>
        </w:rPr>
      </w:pPr>
    </w:p>
    <w:p w14:paraId="41996F16" w14:textId="77777777" w:rsidR="00CC62C5" w:rsidRPr="00CC62C5" w:rsidRDefault="00CC62C5" w:rsidP="00CC62C5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b/>
          <w:bCs/>
          <w:i/>
          <w:color w:val="152C4A"/>
          <w:szCs w:val="28"/>
        </w:rPr>
      </w:pP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Chính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phủ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ban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hành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17/2025/NĐ-CP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ngày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6/2/2025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sửa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đổi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bổ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sung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chi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tiết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biện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pháp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thi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hành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i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b/>
          <w:bCs/>
          <w:i/>
          <w:color w:val="152C4A"/>
          <w:szCs w:val="28"/>
        </w:rPr>
        <w:t>.</w:t>
      </w:r>
    </w:p>
    <w:p w14:paraId="364776E2" w14:textId="77777777" w:rsid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</w:p>
    <w:p w14:paraId="6EA89869" w14:textId="77777777" w:rsidR="00CC62C5" w:rsidRPr="00CC62C5" w:rsidRDefault="00CC62C5" w:rsidP="00CC62C5">
      <w:pPr>
        <w:spacing w:after="0" w:line="288" w:lineRule="auto"/>
        <w:ind w:firstLine="720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Theo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17/2025/NĐ-CP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sửa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đổi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sung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23/2024/NĐ-CP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ngày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27/02/2024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Chính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chi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theo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ngành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lĩnh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24/2024/NĐ-CP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ngày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27/2/2024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chi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115/2024/NĐ-CP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ngày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16/9/2024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chi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đai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sử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đất</w:t>
      </w:r>
      <w:proofErr w:type="spellEnd"/>
      <w:r w:rsidRPr="00CC62C5">
        <w:rPr>
          <w:rFonts w:eastAsia="Times New Roman" w:cs="Times New Roman"/>
          <w:color w:val="152C4A"/>
          <w:szCs w:val="28"/>
        </w:rPr>
        <w:t>.</w:t>
      </w:r>
    </w:p>
    <w:p w14:paraId="54EBEBF4" w14:textId="77777777" w:rsidR="00CC62C5" w:rsidRPr="00CC62C5" w:rsidRDefault="00CC62C5" w:rsidP="006B468B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b/>
          <w:bCs/>
          <w:color w:val="152C4A"/>
          <w:szCs w:val="28"/>
        </w:rPr>
      </w:pP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Bổ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sung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hướng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dẫn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tự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tục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thực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hiện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5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3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thầu</w:t>
      </w:r>
      <w:proofErr w:type="spellEnd"/>
    </w:p>
    <w:p w14:paraId="79C7DA8F" w14:textId="77777777" w:rsidR="00CC62C5" w:rsidRPr="00CC62C5" w:rsidRDefault="00CC62C5" w:rsidP="006B468B">
      <w:pPr>
        <w:spacing w:after="0" w:line="288" w:lineRule="auto"/>
        <w:ind w:firstLine="720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Trong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17/2025/NĐ-CP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sung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thêm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2a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sau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24/2024/NĐ-CP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ngày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27/2/2024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> 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tục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5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3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sau</w:t>
      </w:r>
      <w:proofErr w:type="spellEnd"/>
      <w:r w:rsidRPr="00CC62C5">
        <w:rPr>
          <w:rFonts w:eastAsia="Times New Roman" w:cs="Times New Roman"/>
          <w:color w:val="152C4A"/>
          <w:szCs w:val="28"/>
        </w:rPr>
        <w:t>:</w:t>
      </w:r>
    </w:p>
    <w:p w14:paraId="0318A7E0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proofErr w:type="spellStart"/>
      <w:r w:rsidRPr="00CC62C5">
        <w:rPr>
          <w:rFonts w:eastAsia="Times New Roman" w:cs="Times New Roman"/>
          <w:color w:val="152C4A"/>
          <w:szCs w:val="28"/>
        </w:rPr>
        <w:t>Trước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quốc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thỏa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thuận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vay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ngoài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chưa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Chính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việc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theo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tục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sau</w:t>
      </w:r>
      <w:proofErr w:type="spellEnd"/>
      <w:r w:rsidRPr="00CC62C5">
        <w:rPr>
          <w:rFonts w:eastAsia="Times New Roman" w:cs="Times New Roman"/>
          <w:color w:val="152C4A"/>
          <w:szCs w:val="28"/>
        </w:rPr>
        <w:t>:</w:t>
      </w:r>
    </w:p>
    <w:p w14:paraId="63ECDCAB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1.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đàm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gửi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đàm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xuất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việc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chưa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.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xuất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gồm</w:t>
      </w:r>
      <w:proofErr w:type="spellEnd"/>
      <w:r w:rsidRPr="00CC62C5">
        <w:rPr>
          <w:rFonts w:eastAsia="Times New Roman" w:cs="Times New Roman"/>
          <w:color w:val="152C4A"/>
          <w:szCs w:val="28"/>
        </w:rPr>
        <w:t>:</w:t>
      </w:r>
    </w:p>
    <w:p w14:paraId="10DA70FB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a) Các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tài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trợ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quốc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chưa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proofErr w:type="gram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  <w:proofErr w:type="gramEnd"/>
    </w:p>
    <w:p w14:paraId="272D0408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b)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đánh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động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việc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điểm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a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này</w:t>
      </w:r>
      <w:proofErr w:type="spellEnd"/>
      <w:r w:rsidRPr="00CC62C5">
        <w:rPr>
          <w:rFonts w:eastAsia="Times New Roman" w:cs="Times New Roman"/>
          <w:color w:val="152C4A"/>
          <w:szCs w:val="28"/>
        </w:rPr>
        <w:t>.</w:t>
      </w:r>
    </w:p>
    <w:p w14:paraId="05007F40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lastRenderedPageBreak/>
        <w:t xml:space="preserve">2.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đàm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lấy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ý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Ngoại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giao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xuất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chưa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cùng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quốc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thỏa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thuận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vay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ngoài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. Các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lấy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ý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trả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lời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bằng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đàm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thời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05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ngày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làm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việc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từ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ngày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nhận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lấy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ý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tài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liệu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>.</w:t>
      </w:r>
    </w:p>
    <w:p w14:paraId="7F1E73A4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3.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quốc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thỏa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thuận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vay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ngoài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đàm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Chính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xem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xét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việc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theo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tài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trợ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quốc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Chính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Cộng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hòa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xã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nghĩa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Việt Nam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thành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>.</w:t>
      </w:r>
    </w:p>
    <w:p w14:paraId="4E476006" w14:textId="77777777" w:rsidR="00CC62C5" w:rsidRPr="00CC62C5" w:rsidRDefault="00CC62C5" w:rsidP="006B468B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b/>
          <w:bCs/>
          <w:color w:val="152C4A"/>
          <w:szCs w:val="28"/>
        </w:rPr>
      </w:pP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Sửa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đổi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tục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biệt</w:t>
      </w:r>
      <w:proofErr w:type="spellEnd"/>
    </w:p>
    <w:p w14:paraId="233BB35A" w14:textId="77777777" w:rsidR="00CC62C5" w:rsidRPr="00CC62C5" w:rsidRDefault="00CC62C5" w:rsidP="006B468B">
      <w:pPr>
        <w:spacing w:after="0" w:line="288" w:lineRule="auto"/>
        <w:ind w:firstLine="720"/>
        <w:jc w:val="both"/>
        <w:rPr>
          <w:rFonts w:eastAsia="Times New Roman" w:cs="Times New Roman"/>
          <w:color w:val="152C4A"/>
          <w:szCs w:val="28"/>
        </w:rPr>
      </w:pPr>
      <w:proofErr w:type="spellStart"/>
      <w:r w:rsidRPr="00CC62C5">
        <w:rPr>
          <w:rFonts w:eastAsia="Times New Roman" w:cs="Times New Roman"/>
          <w:color w:val="152C4A"/>
          <w:szCs w:val="28"/>
        </w:rPr>
        <w:t>Đồng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thời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17/2025/NĐ-CP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cũng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sửa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đổi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sung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tục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83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24/2024/NĐ-CP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ngày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27/2/2024.</w:t>
      </w:r>
    </w:p>
    <w:p w14:paraId="445C501F" w14:textId="77777777" w:rsidR="00CC62C5" w:rsidRPr="00CC62C5" w:rsidRDefault="00CC62C5" w:rsidP="006B468B">
      <w:pPr>
        <w:spacing w:after="0" w:line="288" w:lineRule="auto"/>
        <w:ind w:firstLine="720"/>
        <w:jc w:val="both"/>
        <w:outlineLvl w:val="3"/>
        <w:rPr>
          <w:rFonts w:eastAsia="Times New Roman" w:cs="Times New Roman"/>
          <w:b/>
          <w:bCs/>
          <w:color w:val="152C4A"/>
          <w:szCs w:val="28"/>
        </w:rPr>
      </w:pPr>
      <w:r w:rsidRPr="00CC62C5">
        <w:rPr>
          <w:rFonts w:eastAsia="Times New Roman" w:cs="Times New Roman"/>
          <w:b/>
          <w:bCs/>
          <w:color w:val="152C4A"/>
          <w:szCs w:val="28"/>
        </w:rPr>
        <w:t xml:space="preserve">Theo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mới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>, 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1,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2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điểm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s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3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82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24/2024/NĐ-CP:</w:t>
      </w:r>
    </w:p>
    <w:p w14:paraId="247A9998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a)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cứ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hồ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do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xuất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trưởng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trung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tịch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Ủy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ban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tỉnh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giao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thẩm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proofErr w:type="gram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  <w:proofErr w:type="gramEnd"/>
    </w:p>
    <w:p w14:paraId="0E631804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b)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Hồ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gồm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: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tờ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thảo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trưởng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trung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tịch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Ủy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ban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tỉnh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tài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liệu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.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Tờ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bao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gồm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những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dung: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tin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toán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sắm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(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toán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sắm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nguồn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vốn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toán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sắm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thời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);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1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82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24/2024/NĐ-CP,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do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nếu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21, 22, 23, 24, 25, 26, 27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28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thì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theo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chỉ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chỉ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Ban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Trung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Đảng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Chính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Ban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Bí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lãnh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chốt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Đảng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82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24/2024/NĐ-CP,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đảm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yếu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lĩnh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quốc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phòng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an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ninh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ngoại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lãnh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do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lastRenderedPageBreak/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21, 22, 23, 24, 25, 26, 27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28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điểm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s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3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82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24/2024/NĐ-CP,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thù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tục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tiêu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chí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đồng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do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21, 22, 23, 24, 25, 26, 27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28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thảo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gồm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những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yếu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sau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: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tục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ứng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thù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toán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sắm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đảm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năng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nghiệm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khả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quả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.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thảo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trưởng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trung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tịch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Ủy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ban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tỉnh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gồm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theo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điểm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đ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proofErr w:type="gramStart"/>
      <w:r w:rsidRPr="00CC62C5">
        <w:rPr>
          <w:rFonts w:eastAsia="Times New Roman" w:cs="Times New Roman"/>
          <w:color w:val="152C4A"/>
          <w:szCs w:val="28"/>
        </w:rPr>
        <w:t>này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  <w:proofErr w:type="gramEnd"/>
    </w:p>
    <w:p w14:paraId="0A9D02FC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c) Trong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thẩm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ngang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Chính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ở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trung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Ủy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ban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tỉnh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gửi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hồ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lấy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ý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phạm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vi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(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nếu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1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điểm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s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3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82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này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lấy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ý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: Quốc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phòng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Công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Ngoại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giao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theo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từng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lĩnh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phạm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vi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đảm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yếu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lĩnh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quốc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phòng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an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ninh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ngoại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lãnh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ý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(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nếu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82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24/2024/NĐ-CP;</w:t>
      </w:r>
    </w:p>
    <w:p w14:paraId="4488337F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d)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cứ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ý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điểm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c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này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giao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nhiệm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vụ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thẩm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lập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thẩm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gồm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sau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: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đánh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do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ý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thảo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trưởng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trung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tịch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Ủy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ban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tỉnh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thuận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trưởng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trung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tịch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Ủy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ban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tỉnh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thuận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thuận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việc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</w:p>
    <w:p w14:paraId="382C6096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đ)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cứ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hồ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thẩm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trưởng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trung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tịch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Ủy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ban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tỉnh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xem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xét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thuận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thuận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.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lastRenderedPageBreak/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trưởng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trung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tịch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Ủy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ban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dân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tỉnh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gồm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dung: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thuận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việc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toán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sắm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trách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nhiệm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người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thẩm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quyền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mời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yêu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triển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khai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toán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sắm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(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nếu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có</w:t>
      </w:r>
      <w:proofErr w:type="spellEnd"/>
      <w:r w:rsidRPr="00CC62C5">
        <w:rPr>
          <w:rFonts w:eastAsia="Times New Roman" w:cs="Times New Roman"/>
          <w:color w:val="152C4A"/>
          <w:szCs w:val="28"/>
        </w:rPr>
        <w:t>).</w:t>
      </w:r>
    </w:p>
    <w:p w14:paraId="19821EFB" w14:textId="77777777" w:rsidR="00CC62C5" w:rsidRPr="00CC62C5" w:rsidRDefault="00CC62C5" w:rsidP="006B468B">
      <w:pPr>
        <w:spacing w:after="0" w:line="288" w:lineRule="auto"/>
        <w:ind w:firstLine="720"/>
        <w:jc w:val="both"/>
        <w:outlineLvl w:val="3"/>
        <w:rPr>
          <w:rFonts w:eastAsia="Times New Roman" w:cs="Times New Roman"/>
          <w:b/>
          <w:bCs/>
          <w:color w:val="152C4A"/>
          <w:szCs w:val="28"/>
        </w:rPr>
      </w:pP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điểm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a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điểm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b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3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82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24/2024/NĐ-CP:</w:t>
      </w:r>
    </w:p>
    <w:p w14:paraId="2FEB3769" w14:textId="77777777" w:rsidR="00CC62C5" w:rsidRPr="00CC62C5" w:rsidRDefault="00CC62C5" w:rsidP="006B468B">
      <w:pPr>
        <w:spacing w:after="0" w:line="288" w:lineRule="auto"/>
        <w:ind w:firstLine="720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a)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trưởng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Y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giao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lập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hồ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đồng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thời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giao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thẩm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proofErr w:type="gram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  <w:proofErr w:type="gramEnd"/>
    </w:p>
    <w:p w14:paraId="6DB981C5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b)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Hồ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gồm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: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tờ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thảo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trưởng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Y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tài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liệu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.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Tờ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bao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gồm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những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dung: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tin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toán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sắm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(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toán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sắm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nguồn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vốn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toán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sắm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thời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);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thù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1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29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do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một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21, 22, 23, 24, 25, 26, 27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28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Đấu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thảo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gồm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những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yếu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sau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: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tục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ứng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thù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toán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sắm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đảm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năng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nghiệm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khả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quả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</w:p>
    <w:p w14:paraId="00B45F7A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c)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cứ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hồ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thẩm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trưởng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Y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xem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xét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thuận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thuận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dụng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biệt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>.</w:t>
      </w:r>
    </w:p>
    <w:p w14:paraId="22BF7701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Trường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quốc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xuất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thuốc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vắc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xin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y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riêng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đồng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(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nếu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),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tạm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ứng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thanh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toán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ràng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buộc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cung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thuốc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vắc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xin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y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thì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theo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quốc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xuất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đó</w:t>
      </w:r>
      <w:proofErr w:type="spellEnd"/>
      <w:r w:rsidRPr="00CC62C5">
        <w:rPr>
          <w:rFonts w:eastAsia="Times New Roman" w:cs="Times New Roman"/>
          <w:color w:val="152C4A"/>
          <w:szCs w:val="28"/>
        </w:rPr>
        <w:t>.</w:t>
      </w:r>
    </w:p>
    <w:p w14:paraId="2645373C" w14:textId="77777777" w:rsidR="00CC62C5" w:rsidRPr="00CC62C5" w:rsidRDefault="00CC62C5" w:rsidP="006B468B">
      <w:pPr>
        <w:spacing w:after="0" w:line="288" w:lineRule="auto"/>
        <w:ind w:firstLine="720"/>
        <w:jc w:val="both"/>
        <w:outlineLvl w:val="3"/>
        <w:rPr>
          <w:rFonts w:eastAsia="Times New Roman" w:cs="Times New Roman"/>
          <w:b/>
          <w:bCs/>
          <w:color w:val="152C4A"/>
          <w:szCs w:val="28"/>
        </w:rPr>
      </w:pP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điểm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c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3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82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24/2024/NĐ-CP:</w:t>
      </w:r>
    </w:p>
    <w:p w14:paraId="4864BDEB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lastRenderedPageBreak/>
        <w:t xml:space="preserve">a)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trưởng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Y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giao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thực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trách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nhiệm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việc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vắc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proofErr w:type="gramStart"/>
      <w:r w:rsidRPr="00CC62C5">
        <w:rPr>
          <w:rFonts w:eastAsia="Times New Roman" w:cs="Times New Roman"/>
          <w:color w:val="152C4A"/>
          <w:szCs w:val="28"/>
        </w:rPr>
        <w:t>xin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  <w:proofErr w:type="gramEnd"/>
    </w:p>
    <w:p w14:paraId="5BD6BCA5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b)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cứ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hoạch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tiêm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mở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rộng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lượng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loại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vắc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xin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thời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cung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vắc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xin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(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vắc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xin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01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năm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);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nội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dung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cần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lập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tờ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phê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duyệt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hoạch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Y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thẩm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phê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duyệt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. Trường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năm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thì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mua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sắm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từng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năm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.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Hồ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gồm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: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tờ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thảo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phê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duyệt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hoạch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trưởng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Y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tài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liệu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liên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proofErr w:type="gram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  <w:proofErr w:type="gramEnd"/>
    </w:p>
    <w:p w14:paraId="580FE70C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c)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cứ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tờ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thẩm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trưởng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Y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xem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xét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phê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duyệt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hoạch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proofErr w:type="gram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  <w:proofErr w:type="gramEnd"/>
    </w:p>
    <w:p w14:paraId="751FA0C8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d)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cứ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hoạch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phê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duyệt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phê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duyệt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đặt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đồng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xuất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vắc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xin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xuất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cung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vắc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xin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phục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vụ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tiêm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mở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proofErr w:type="gramStart"/>
      <w:r w:rsidRPr="00CC62C5">
        <w:rPr>
          <w:rFonts w:eastAsia="Times New Roman" w:cs="Times New Roman"/>
          <w:color w:val="152C4A"/>
          <w:szCs w:val="28"/>
        </w:rPr>
        <w:t>rộng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  <w:proofErr w:type="gramEnd"/>
    </w:p>
    <w:p w14:paraId="5968084C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đ)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Trước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ngày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31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12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hằng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năm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xuất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vắc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xin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lập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hồ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ứng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lượng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cung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năm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Chương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tiêm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mở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rộng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Y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gửi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Tài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chính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thẩm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phê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duyệt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vắc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xin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tối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proofErr w:type="gramStart"/>
      <w:r w:rsidRPr="00CC62C5">
        <w:rPr>
          <w:rFonts w:eastAsia="Times New Roman" w:cs="Times New Roman"/>
          <w:color w:val="152C4A"/>
          <w:szCs w:val="28"/>
        </w:rPr>
        <w:t>đa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  <w:proofErr w:type="gramEnd"/>
    </w:p>
    <w:p w14:paraId="07133E54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e)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cứ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vắc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xin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tối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do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Tài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chính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Y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phê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duyệt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cụ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nhưng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vượt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tối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.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thanh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toán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đồng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hằng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năm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căn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cứ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theo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số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lượng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vắc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xin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cung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cấp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cụ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Bộ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Y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phê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duyệt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>.</w:t>
      </w:r>
    </w:p>
    <w:p w14:paraId="084AD384" w14:textId="77777777" w:rsidR="00CC62C5" w:rsidRPr="00CC62C5" w:rsidRDefault="00CC62C5" w:rsidP="006B468B">
      <w:pPr>
        <w:spacing w:after="0" w:line="288" w:lineRule="auto"/>
        <w:ind w:firstLine="720"/>
        <w:jc w:val="both"/>
        <w:outlineLvl w:val="3"/>
        <w:rPr>
          <w:rFonts w:eastAsia="Times New Roman" w:cs="Times New Roman"/>
          <w:b/>
          <w:bCs/>
          <w:color w:val="152C4A"/>
          <w:szCs w:val="28"/>
        </w:rPr>
      </w:pP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Đối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gói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thầu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thuộc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trường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quy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tại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điểm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d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3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82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của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Nghị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b/>
          <w:bCs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b/>
          <w:bCs/>
          <w:color w:val="152C4A"/>
          <w:szCs w:val="28"/>
        </w:rPr>
        <w:t xml:space="preserve"> 24/2024/NĐ-CP:</w:t>
      </w:r>
    </w:p>
    <w:p w14:paraId="39A12EDE" w14:textId="77777777" w:rsidR="00CC62C5" w:rsidRPr="00CC62C5" w:rsidRDefault="00CC62C5" w:rsidP="006B468B">
      <w:pPr>
        <w:spacing w:after="0" w:line="288" w:lineRule="auto"/>
        <w:ind w:firstLine="720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a)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vụ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xây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tiêu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chí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tham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chiếu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kiểm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soát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để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xác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định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danh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sách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(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03)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dự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kiến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được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thuê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;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chỉ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danh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sách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danh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tiếng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proofErr w:type="gramStart"/>
      <w:r w:rsidRPr="00CC62C5">
        <w:rPr>
          <w:rFonts w:eastAsia="Times New Roman" w:cs="Times New Roman"/>
          <w:color w:val="152C4A"/>
          <w:szCs w:val="28"/>
        </w:rPr>
        <w:t>nghiệm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  <w:proofErr w:type="gramEnd"/>
    </w:p>
    <w:p w14:paraId="778FD229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b)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vụ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đàm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đồng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dịch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vụ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có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ưu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nhất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trên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sở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các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tiêu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chí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điều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khoản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tham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chiếu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chế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kiểm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soát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trong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vụ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proofErr w:type="gram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  <w:proofErr w:type="gramEnd"/>
    </w:p>
    <w:p w14:paraId="637E7517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lastRenderedPageBreak/>
        <w:t xml:space="preserve">c)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Người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đứng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đầu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vụ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phê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duyệt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và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thông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báo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quả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lựa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chọn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proofErr w:type="gram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>;</w:t>
      </w:r>
      <w:proofErr w:type="gramEnd"/>
    </w:p>
    <w:p w14:paraId="055ED97D" w14:textId="77777777" w:rsidR="00CC62C5" w:rsidRPr="00CC62C5" w:rsidRDefault="00CC62C5" w:rsidP="00CC62C5">
      <w:pPr>
        <w:spacing w:after="0" w:line="288" w:lineRule="auto"/>
        <w:jc w:val="both"/>
        <w:rPr>
          <w:rFonts w:eastAsia="Times New Roman" w:cs="Times New Roman"/>
          <w:color w:val="152C4A"/>
          <w:szCs w:val="28"/>
        </w:rPr>
      </w:pPr>
      <w:r w:rsidRPr="00CC62C5">
        <w:rPr>
          <w:rFonts w:eastAsia="Times New Roman" w:cs="Times New Roman"/>
          <w:color w:val="152C4A"/>
          <w:szCs w:val="28"/>
        </w:rPr>
        <w:t xml:space="preserve">d)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Cơ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quan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đơn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vị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chủ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trì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giải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quyết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vụ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hoàn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thiện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kết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hợp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đồng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dịch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vụ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pháp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lý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với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tổ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chức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hành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nghề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,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luật</w:t>
      </w:r>
      <w:proofErr w:type="spellEnd"/>
      <w:r w:rsidRPr="00CC62C5">
        <w:rPr>
          <w:rFonts w:eastAsia="Times New Roman" w:cs="Times New Roman"/>
          <w:color w:val="152C4A"/>
          <w:szCs w:val="28"/>
        </w:rPr>
        <w:t xml:space="preserve"> </w:t>
      </w:r>
      <w:proofErr w:type="spellStart"/>
      <w:r w:rsidRPr="00CC62C5">
        <w:rPr>
          <w:rFonts w:eastAsia="Times New Roman" w:cs="Times New Roman"/>
          <w:color w:val="152C4A"/>
          <w:szCs w:val="28"/>
        </w:rPr>
        <w:t>sư</w:t>
      </w:r>
      <w:proofErr w:type="spellEnd"/>
      <w:r w:rsidRPr="00CC62C5">
        <w:rPr>
          <w:rFonts w:eastAsia="Times New Roman" w:cs="Times New Roman"/>
          <w:color w:val="152C4A"/>
          <w:szCs w:val="28"/>
        </w:rPr>
        <w:t>.</w:t>
      </w:r>
    </w:p>
    <w:p w14:paraId="22CA33A1" w14:textId="77777777" w:rsidR="00306EB1" w:rsidRPr="00CC62C5" w:rsidRDefault="00306EB1" w:rsidP="00CC62C5">
      <w:pPr>
        <w:spacing w:after="0" w:line="288" w:lineRule="auto"/>
        <w:jc w:val="both"/>
        <w:rPr>
          <w:rFonts w:cs="Times New Roman"/>
          <w:szCs w:val="28"/>
        </w:rPr>
      </w:pPr>
    </w:p>
    <w:sectPr w:rsidR="00306EB1" w:rsidRPr="00CC6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C5"/>
    <w:rsid w:val="00306EB1"/>
    <w:rsid w:val="006B468B"/>
    <w:rsid w:val="009E1D55"/>
    <w:rsid w:val="00BC1677"/>
    <w:rsid w:val="00CC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EB08"/>
  <w15:docId w15:val="{7E7415CE-1029-4EDA-90EB-94617B04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62C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2C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CC62C5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2C5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62C5"/>
    <w:rPr>
      <w:rFonts w:eastAsia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C62C5"/>
    <w:rPr>
      <w:rFonts w:eastAsia="Times New Roman" w:cs="Times New Roman"/>
      <w:b/>
      <w:bCs/>
      <w:sz w:val="24"/>
      <w:szCs w:val="24"/>
    </w:rPr>
  </w:style>
  <w:style w:type="paragraph" w:customStyle="1" w:styleId="days">
    <w:name w:val="days"/>
    <w:basedOn w:val="Normal"/>
    <w:rsid w:val="00CC62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62C5"/>
    <w:rPr>
      <w:color w:val="0000FF"/>
      <w:u w:val="single"/>
    </w:rPr>
  </w:style>
  <w:style w:type="character" w:customStyle="1" w:styleId="player-duration">
    <w:name w:val="player-duration"/>
    <w:basedOn w:val="DefaultParagraphFont"/>
    <w:rsid w:val="00CC62C5"/>
  </w:style>
  <w:style w:type="paragraph" w:styleId="NormalWeb">
    <w:name w:val="Normal (Web)"/>
    <w:basedOn w:val="Normal"/>
    <w:uiPriority w:val="99"/>
    <w:semiHidden/>
    <w:unhideWhenUsed/>
    <w:rsid w:val="00CC62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EBEBEB"/>
            <w:right w:val="none" w:sz="0" w:space="0" w:color="auto"/>
          </w:divBdr>
          <w:divsChild>
            <w:div w:id="110287205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16868-44B8-4B0B-9AD4-BA81F22F2D29}"/>
</file>

<file path=customXml/itemProps2.xml><?xml version="1.0" encoding="utf-8"?>
<ds:datastoreItem xmlns:ds="http://schemas.openxmlformats.org/officeDocument/2006/customXml" ds:itemID="{DCCEF873-B0BB-4B6B-B829-53952805F8C6}"/>
</file>

<file path=customXml/itemProps3.xml><?xml version="1.0" encoding="utf-8"?>
<ds:datastoreItem xmlns:ds="http://schemas.openxmlformats.org/officeDocument/2006/customXml" ds:itemID="{167487D4-15DD-4E66-ADA3-3B881AF31B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1721</Words>
  <Characters>9813</Characters>
  <Application>Microsoft Office Word</Application>
  <DocSecurity>0</DocSecurity>
  <Lines>81</Lines>
  <Paragraphs>23</Paragraphs>
  <ScaleCrop>false</ScaleCrop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2025-03-17T02:52:00Z</dcterms:created>
  <dcterms:modified xsi:type="dcterms:W3CDTF">2025-03-17T02:52:00Z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